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E23EC5A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77"/>
        <w:gridCol w:w="4428"/>
      </w:tblGrid>
      <w:tr w:rsidR="001B7424" w14:paraId="72C3E29C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32F25A3" w14:textId="77777777" w:rsidR="001B7424" w:rsidRPr="000133BA" w:rsidRDefault="001B742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</w:tc>
      </w:tr>
      <w:tr w:rsidR="008A47CA" w14:paraId="2C0D3C66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3A1B5A1" w14:textId="77777777" w:rsidR="00EA6784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EA6784">
              <w:rPr>
                <w:b/>
              </w:rPr>
              <w:t xml:space="preserve"> Low intermediate – Intermediate </w:t>
            </w:r>
            <w:r w:rsidR="00D76E0D">
              <w:rPr>
                <w:b/>
              </w:rPr>
              <w:t>EAL students</w:t>
            </w:r>
            <w:r w:rsidR="000A773F">
              <w:rPr>
                <w:b/>
              </w:rPr>
              <w:t xml:space="preserve"> </w:t>
            </w:r>
            <w:r w:rsidR="00EA6784">
              <w:rPr>
                <w:b/>
              </w:rPr>
              <w:t xml:space="preserve">             </w:t>
            </w:r>
            <w:r w:rsidR="000A773F">
              <w:rPr>
                <w:b/>
              </w:rPr>
              <w:t xml:space="preserve"> </w:t>
            </w:r>
          </w:p>
          <w:p w14:paraId="2F1B7AFD" w14:textId="77777777" w:rsidR="00EA6784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D76E0D">
              <w:rPr>
                <w:b/>
              </w:rPr>
              <w:t>English 10</w:t>
            </w:r>
          </w:p>
          <w:p w14:paraId="105BC7D0" w14:textId="3E8CDF67" w:rsidR="00E64972" w:rsidRPr="000133BA" w:rsidRDefault="008A47CA" w:rsidP="00CC7E41">
            <w:pPr>
              <w:rPr>
                <w:b/>
              </w:rPr>
            </w:pPr>
            <w:r>
              <w:rPr>
                <w:b/>
              </w:rPr>
              <w:t xml:space="preserve">Unit:        </w:t>
            </w:r>
            <w:r w:rsidR="00CC7E41">
              <w:rPr>
                <w:b/>
              </w:rPr>
              <w:t xml:space="preserve">Independent Novel Study (Book Report using </w:t>
            </w:r>
            <w:hyperlink r:id="rId8" w:history="1">
              <w:proofErr w:type="spellStart"/>
              <w:r w:rsidR="00CC7E41" w:rsidRPr="00CC7E41">
                <w:rPr>
                  <w:rStyle w:val="Hyperlink"/>
                  <w:b/>
                </w:rPr>
                <w:t>Glogster</w:t>
              </w:r>
              <w:proofErr w:type="spellEnd"/>
            </w:hyperlink>
            <w:r w:rsidR="00CC7E41">
              <w:rPr>
                <w:b/>
              </w:rPr>
              <w:t>)</w:t>
            </w:r>
          </w:p>
        </w:tc>
      </w:tr>
      <w:tr w:rsidR="001B7424" w14:paraId="4552292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0D47F0" w14:textId="5D337AF6" w:rsidR="00310B41" w:rsidRPr="00C80C48" w:rsidRDefault="001B7424" w:rsidP="000A773F">
            <w:pPr>
              <w:rPr>
                <w:b/>
              </w:rPr>
            </w:pPr>
            <w:r w:rsidRPr="00C80C48">
              <w:rPr>
                <w:b/>
              </w:rPr>
              <w:t>Driving Question</w:t>
            </w:r>
            <w:r w:rsidR="00FB4D2C" w:rsidRPr="00C80C48">
              <w:rPr>
                <w:b/>
              </w:rPr>
              <w:t>(s)</w:t>
            </w:r>
            <w:r w:rsidR="000A773F" w:rsidRPr="00C80C48">
              <w:rPr>
                <w:b/>
              </w:rPr>
              <w:t>:</w:t>
            </w:r>
            <w:r w:rsidR="00D76E0D" w:rsidRPr="00C80C48">
              <w:rPr>
                <w:b/>
              </w:rPr>
              <w:t xml:space="preserve">  </w:t>
            </w:r>
          </w:p>
          <w:p w14:paraId="37154057" w14:textId="7DD70395" w:rsidR="007123C6" w:rsidRPr="000A773F" w:rsidRDefault="00622403" w:rsidP="0062240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How can you creatively show your novel? What would you share to show your novel?</w:t>
            </w:r>
          </w:p>
        </w:tc>
      </w:tr>
      <w:tr w:rsidR="001B7424" w14:paraId="744E1A9D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687D6F4" w14:textId="77777777" w:rsidR="001B7424" w:rsidRPr="000133BA" w:rsidRDefault="001B7424">
            <w:pPr>
              <w:rPr>
                <w:b/>
              </w:rPr>
            </w:pPr>
          </w:p>
        </w:tc>
      </w:tr>
      <w:tr w:rsidR="007123C6" w14:paraId="4DB82347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4361F20" w14:textId="77777777" w:rsidR="00414BAE" w:rsidRDefault="007123C6" w:rsidP="007123C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C80C48">
              <w:rPr>
                <w:b/>
              </w:rPr>
              <w:t>Prior Knowledge</w:t>
            </w:r>
            <w:r w:rsidRPr="000133BA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14:paraId="44F79EC0" w14:textId="2F61185E" w:rsidR="007123C6" w:rsidRPr="00414BAE" w:rsidRDefault="00414BAE" w:rsidP="00414B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414BAE">
              <w:rPr>
                <w:b/>
              </w:rPr>
              <w:t xml:space="preserve">Students </w:t>
            </w:r>
            <w:r w:rsidR="00EF6CDB">
              <w:rPr>
                <w:b/>
              </w:rPr>
              <w:t>may have done traditional</w:t>
            </w:r>
            <w:r w:rsidR="00622403">
              <w:rPr>
                <w:b/>
              </w:rPr>
              <w:t xml:space="preserve"> book reports in the past and </w:t>
            </w:r>
            <w:r w:rsidR="00EF6CDB">
              <w:rPr>
                <w:b/>
              </w:rPr>
              <w:t xml:space="preserve">may be </w:t>
            </w:r>
            <w:r w:rsidR="00622403">
              <w:rPr>
                <w:b/>
              </w:rPr>
              <w:t>familiar with the components: characters, setting, plot, conflict, etc.</w:t>
            </w:r>
          </w:p>
          <w:p w14:paraId="7F5A7E9C" w14:textId="532060FB" w:rsidR="00414BAE" w:rsidRPr="00622403" w:rsidRDefault="00414BAE" w:rsidP="0062240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414BAE">
              <w:rPr>
                <w:b/>
              </w:rPr>
              <w:t xml:space="preserve">Students have </w:t>
            </w:r>
            <w:r w:rsidR="00622403">
              <w:rPr>
                <w:b/>
              </w:rPr>
              <w:t>read their novels and are ready to present it through a virtual poster.</w:t>
            </w:r>
          </w:p>
        </w:tc>
      </w:tr>
      <w:tr w:rsidR="005C332A" w14:paraId="4D18BE3D" w14:textId="77777777" w:rsidTr="004652A0">
        <w:trPr>
          <w:trHeight w:val="79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507D679" w14:textId="58BBB9A5" w:rsidR="00221D08" w:rsidRDefault="005C332A" w:rsidP="0062240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  <w:sz w:val="28"/>
                <w:szCs w:val="28"/>
              </w:rPr>
              <w:t>Screencast Link(s)</w:t>
            </w:r>
            <w:r w:rsidRPr="000133BA">
              <w:rPr>
                <w:b/>
              </w:rPr>
              <w:t xml:space="preserve">: </w:t>
            </w:r>
            <w:r w:rsidR="00F86092">
              <w:rPr>
                <w:b/>
              </w:rPr>
              <w:t xml:space="preserve"> Tutorial on </w:t>
            </w:r>
            <w:r w:rsidR="00622403">
              <w:rPr>
                <w:b/>
              </w:rPr>
              <w:t xml:space="preserve">using </w:t>
            </w:r>
            <w:proofErr w:type="spellStart"/>
            <w:r w:rsidR="00622403">
              <w:rPr>
                <w:b/>
              </w:rPr>
              <w:t>Glogster</w:t>
            </w:r>
            <w:proofErr w:type="spellEnd"/>
            <w:r w:rsidR="00622403">
              <w:rPr>
                <w:b/>
              </w:rPr>
              <w:t xml:space="preserve"> for a book report:</w:t>
            </w:r>
          </w:p>
          <w:p w14:paraId="3C741A10" w14:textId="76E6B61E" w:rsidR="00622403" w:rsidRPr="00622403" w:rsidRDefault="00813371" w:rsidP="0062240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7FB706"/>
              </w:rPr>
            </w:pPr>
            <w:hyperlink r:id="rId9" w:history="1">
              <w:r w:rsidR="00622403" w:rsidRPr="00622403">
                <w:rPr>
                  <w:rStyle w:val="Hyperlink"/>
                  <w:rFonts w:ascii="Times" w:hAnsi="Times" w:cs="Times"/>
                </w:rPr>
                <w:t>http://youtu.be/1FsnuvmMrIc</w:t>
              </w:r>
            </w:hyperlink>
          </w:p>
        </w:tc>
      </w:tr>
      <w:tr w:rsidR="00FE3DC3" w14:paraId="0AE4DF08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9470F9D" w14:textId="0050209E" w:rsidR="00BD1BD5" w:rsidRPr="000133BA" w:rsidRDefault="00BD1BD5">
            <w:pPr>
              <w:rPr>
                <w:b/>
              </w:rPr>
            </w:pPr>
          </w:p>
          <w:p w14:paraId="462ED1A0" w14:textId="76B80E57" w:rsidR="00FE3DC3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  <w:r w:rsidR="00622403">
              <w:rPr>
                <w:b/>
              </w:rPr>
              <w:t xml:space="preserve"> 1 </w:t>
            </w:r>
            <w:r w:rsidR="004652A0">
              <w:rPr>
                <w:b/>
              </w:rPr>
              <w:t xml:space="preserve">EAL </w:t>
            </w:r>
            <w:r w:rsidR="00EF6CDB">
              <w:rPr>
                <w:b/>
              </w:rPr>
              <w:t>support classes (80</w:t>
            </w:r>
            <w:r w:rsidR="004652A0">
              <w:rPr>
                <w:b/>
              </w:rPr>
              <w:t xml:space="preserve"> minute blocks)</w:t>
            </w:r>
          </w:p>
          <w:p w14:paraId="0D2CCDEE" w14:textId="77777777" w:rsidR="00FE3DC3" w:rsidRPr="000133BA" w:rsidRDefault="00FE3DC3" w:rsidP="00622403">
            <w:pPr>
              <w:rPr>
                <w:b/>
              </w:rPr>
            </w:pPr>
          </w:p>
        </w:tc>
      </w:tr>
      <w:tr w:rsidR="005C332A" w14:paraId="6DF16387" w14:textId="77777777" w:rsidTr="00325D08">
        <w:trPr>
          <w:trHeight w:val="691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68F52B80" w14:textId="49002AB8" w:rsidR="005C332A" w:rsidRPr="00622403" w:rsidRDefault="00622403" w:rsidP="00F54771">
            <w:pPr>
              <w:rPr>
                <w:b/>
                <w:sz w:val="18"/>
                <w:szCs w:val="18"/>
              </w:rPr>
            </w:pPr>
            <w:r w:rsidRPr="00622403">
              <w:rPr>
                <w:b/>
                <w:sz w:val="18"/>
                <w:szCs w:val="18"/>
              </w:rPr>
              <w:t>Resource</w:t>
            </w:r>
            <w:r w:rsidR="005C332A" w:rsidRPr="00622403">
              <w:rPr>
                <w:b/>
                <w:sz w:val="18"/>
                <w:szCs w:val="18"/>
              </w:rPr>
              <w:t>s</w:t>
            </w:r>
          </w:p>
          <w:p w14:paraId="2092C430" w14:textId="77777777" w:rsidR="005C332A" w:rsidRPr="00BD1BD5" w:rsidRDefault="005C332A">
            <w:pPr>
              <w:rPr>
                <w:b/>
              </w:rPr>
            </w:pPr>
            <w:r>
              <w:rPr>
                <w:b/>
              </w:rPr>
              <w:t>(Tools &amp; Tech)</w:t>
            </w:r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6FA6D2C9" w14:textId="222A2BBD" w:rsidR="005C332A" w:rsidRPr="00BD1BD5" w:rsidRDefault="005C332A" w:rsidP="00325D08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</w:tr>
      <w:tr w:rsidR="007E7C0C" w14:paraId="4A153D80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107BEAD2" w14:textId="0F591F33" w:rsidR="009D35E8" w:rsidRDefault="009D35E8" w:rsidP="009D35E8">
            <w:pPr>
              <w:rPr>
                <w:sz w:val="20"/>
                <w:szCs w:val="20"/>
              </w:rPr>
            </w:pPr>
          </w:p>
          <w:p w14:paraId="7CEC467D" w14:textId="77777777" w:rsidR="009D35E8" w:rsidRDefault="009D35E8" w:rsidP="009D35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iPad</w:t>
            </w:r>
            <w:proofErr w:type="spellEnd"/>
            <w:proofErr w:type="gramEnd"/>
          </w:p>
          <w:p w14:paraId="19CA93EA" w14:textId="77777777" w:rsidR="009D35E8" w:rsidRDefault="009D35E8" w:rsidP="009D35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Showme</w:t>
            </w:r>
            <w:proofErr w:type="spellEnd"/>
            <w:r>
              <w:rPr>
                <w:sz w:val="20"/>
                <w:szCs w:val="20"/>
              </w:rPr>
              <w:t xml:space="preserve"> App</w:t>
            </w:r>
          </w:p>
          <w:p w14:paraId="4821484F" w14:textId="0B993B12" w:rsidR="009D35E8" w:rsidRPr="00310B41" w:rsidRDefault="009D35E8" w:rsidP="009D3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other interactive white board app)</w:t>
            </w:r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081BA66C" w14:textId="1C8A8FB2" w:rsidR="00FC62D3" w:rsidRDefault="007E7C0C">
            <w:r>
              <w:t xml:space="preserve">I do: </w:t>
            </w:r>
            <w:r w:rsidR="009D35E8">
              <w:t>(15 minutes)</w:t>
            </w:r>
          </w:p>
          <w:p w14:paraId="7376A357" w14:textId="4690B727" w:rsidR="009D35E8" w:rsidRDefault="009D35E8" w:rsidP="009D35E8">
            <w:pPr>
              <w:pStyle w:val="ListParagraph"/>
              <w:numPr>
                <w:ilvl w:val="0"/>
                <w:numId w:val="15"/>
              </w:numPr>
            </w:pPr>
            <w:r>
              <w:t xml:space="preserve">Review </w:t>
            </w:r>
            <w:r w:rsidR="00D044A1">
              <w:t xml:space="preserve">(or teach) </w:t>
            </w:r>
            <w:r>
              <w:t xml:space="preserve">components of a book report, if necessary.  Teacher should use the </w:t>
            </w:r>
            <w:proofErr w:type="spellStart"/>
            <w:r>
              <w:t>iPad</w:t>
            </w:r>
            <w:proofErr w:type="spellEnd"/>
            <w:r>
              <w:t xml:space="preserve"> and an interactive whiteboard app (</w:t>
            </w:r>
            <w:hyperlink r:id="rId10" w:history="1">
              <w:proofErr w:type="spellStart"/>
              <w:r w:rsidRPr="009D35E8">
                <w:rPr>
                  <w:rStyle w:val="Hyperlink"/>
                </w:rPr>
                <w:t>Showme</w:t>
              </w:r>
              <w:proofErr w:type="spellEnd"/>
            </w:hyperlink>
            <w:r>
              <w:t xml:space="preserve">) to do this so that the mini-lesson is saved as a flipped lesson. </w:t>
            </w:r>
          </w:p>
          <w:p w14:paraId="31E21A3C" w14:textId="7831F848" w:rsidR="00CE2762" w:rsidRDefault="00D044A1" w:rsidP="009D35E8">
            <w:pPr>
              <w:pStyle w:val="ListParagraph"/>
              <w:numPr>
                <w:ilvl w:val="0"/>
                <w:numId w:val="15"/>
              </w:numPr>
            </w:pPr>
            <w:r>
              <w:t xml:space="preserve">Students will </w:t>
            </w:r>
            <w:r w:rsidR="009D35E8">
              <w:t>share components of their novels</w:t>
            </w:r>
            <w:r>
              <w:t xml:space="preserve"> (characters, setting, </w:t>
            </w:r>
            <w:proofErr w:type="spellStart"/>
            <w:r>
              <w:t>etc</w:t>
            </w:r>
            <w:proofErr w:type="spellEnd"/>
            <w:r>
              <w:t>) to show understanding</w:t>
            </w:r>
            <w:r w:rsidR="009D35E8">
              <w:t>. If students have read the same novel, this is opportunity for group discussions and oral practice.</w:t>
            </w:r>
            <w:r>
              <w:t xml:space="preserve">  (Possibility of a </w:t>
            </w:r>
            <w:hyperlink r:id="rId11" w:history="1">
              <w:proofErr w:type="spellStart"/>
              <w:r w:rsidRPr="00D044A1">
                <w:rPr>
                  <w:rStyle w:val="Hyperlink"/>
                </w:rPr>
                <w:t>Kahoot</w:t>
              </w:r>
              <w:proofErr w:type="spellEnd"/>
              <w:r w:rsidRPr="00D044A1">
                <w:rPr>
                  <w:rStyle w:val="Hyperlink"/>
                </w:rPr>
                <w:t>! Quiz</w:t>
              </w:r>
            </w:hyperlink>
            <w:r>
              <w:t xml:space="preserve"> if the group has read same novel).</w:t>
            </w:r>
          </w:p>
        </w:tc>
      </w:tr>
      <w:tr w:rsidR="007E7C0C" w14:paraId="48EB4C6B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2BE52FD8" w14:textId="4BC76912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12692ADE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FC62D3">
              <w:rPr>
                <w:rFonts w:ascii="Menlo Regular" w:eastAsia="MS Gothic" w:hAnsi="Menlo Regular" w:cs="Menlo Regular"/>
                <w:color w:val="1F497D" w:themeColor="text2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color w:val="FF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679E3F5E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9D35E8">
              <w:rPr>
                <w:rFonts w:eastAsia="MS Gothic"/>
                <w:color w:val="FF0000"/>
              </w:rPr>
              <w:t>remember, understand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3CF1E63F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create</w:t>
            </w:r>
            <w:r w:rsidRPr="00EC3FB2">
              <w:rPr>
                <w:rFonts w:eastAsia="MS Gothic"/>
                <w:color w:val="000000"/>
              </w:rPr>
              <w:t>, publish</w:t>
            </w:r>
          </w:p>
          <w:p w14:paraId="271AC459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46F78D0F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05DF86A8" w14:textId="05D0CE8C" w:rsidR="0054781E" w:rsidRPr="0054781E" w:rsidRDefault="00813371" w:rsidP="00FC004B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12" w:history="1">
              <w:proofErr w:type="spellStart"/>
              <w:r w:rsidR="009D35E8" w:rsidRPr="009D35E8">
                <w:rPr>
                  <w:rStyle w:val="Hyperlink"/>
                  <w:sz w:val="20"/>
                  <w:szCs w:val="20"/>
                </w:rPr>
                <w:t>Glogster</w:t>
              </w:r>
              <w:proofErr w:type="spellEnd"/>
            </w:hyperlink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6B3D9014" w14:textId="3BCB7935" w:rsidR="007E7C0C" w:rsidRDefault="007E7C0C" w:rsidP="00663075">
            <w:r>
              <w:t>You do:</w:t>
            </w:r>
            <w:r w:rsidR="00F16CE1">
              <w:t xml:space="preserve"> </w:t>
            </w:r>
            <w:r w:rsidR="009D35E8">
              <w:t>(</w:t>
            </w:r>
            <w:r w:rsidR="00EF6CDB">
              <w:t>15</w:t>
            </w:r>
            <w:r w:rsidR="009D35E8">
              <w:t xml:space="preserve"> minutes)</w:t>
            </w:r>
          </w:p>
          <w:p w14:paraId="18EBD03C" w14:textId="36907EDE" w:rsidR="009D35E8" w:rsidRDefault="009D35E8" w:rsidP="009D35E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Glogster</w:t>
            </w:r>
            <w:proofErr w:type="spellEnd"/>
            <w:r>
              <w:t xml:space="preserve"> tutorial using </w:t>
            </w:r>
            <w:hyperlink r:id="rId13" w:history="1">
              <w:r w:rsidRPr="00CE2762">
                <w:rPr>
                  <w:rStyle w:val="Hyperlink"/>
                </w:rPr>
                <w:t>screencast</w:t>
              </w:r>
            </w:hyperlink>
            <w:r>
              <w:t xml:space="preserve"> and student computers</w:t>
            </w:r>
            <w:r w:rsidR="0054781E">
              <w:t xml:space="preserve">. </w:t>
            </w:r>
            <w:proofErr w:type="spellStart"/>
            <w:r w:rsidR="0054781E">
              <w:t>Gloglster</w:t>
            </w:r>
            <w:proofErr w:type="spellEnd"/>
            <w:r w:rsidR="0054781E">
              <w:t xml:space="preserve"> is an online tool that allows students to create virtual, interactive posters in which they can add images, </w:t>
            </w:r>
            <w:r w:rsidR="0054781E">
              <w:lastRenderedPageBreak/>
              <w:t>audio, video, animation, etc.</w:t>
            </w:r>
          </w:p>
          <w:p w14:paraId="13E4AE18" w14:textId="29A05C19" w:rsidR="000D3637" w:rsidRDefault="009D35E8" w:rsidP="009D35E8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will explore the </w:t>
            </w:r>
            <w:proofErr w:type="spellStart"/>
            <w:r>
              <w:t>Glogster</w:t>
            </w:r>
            <w:proofErr w:type="spellEnd"/>
            <w:r>
              <w:t xml:space="preserve"> book report template while using the screencast (open two screens)</w:t>
            </w:r>
          </w:p>
        </w:tc>
      </w:tr>
      <w:tr w:rsidR="007E7C0C" w14:paraId="66823599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21EB5716" w14:textId="1DD38DED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5C78AA47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1C2943FB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1116C3">
              <w:rPr>
                <w:rFonts w:eastAsia="MS Gothic"/>
                <w:color w:val="FF0000"/>
              </w:rPr>
              <w:t>remember, understand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7621B405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b/>
                <w:color w:val="FF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9D35E8">
              <w:rPr>
                <w:rFonts w:eastAsia="MS Gothic"/>
                <w:b/>
                <w:color w:val="FF0000"/>
              </w:rPr>
              <w:t>create</w:t>
            </w:r>
            <w:r w:rsidRPr="009D35E8">
              <w:rPr>
                <w:rFonts w:eastAsia="MS Gothic"/>
                <w:color w:val="FF0000"/>
              </w:rPr>
              <w:t>,</w:t>
            </w:r>
            <w:r w:rsidRPr="00EC3FB2">
              <w:rPr>
                <w:rFonts w:eastAsia="MS Gothic"/>
                <w:color w:val="000000"/>
              </w:rPr>
              <w:t xml:space="preserve"> publish</w:t>
            </w:r>
          </w:p>
          <w:p w14:paraId="06041ABB" w14:textId="77777777" w:rsidR="007E7C0C" w:rsidRDefault="007E7C0C" w:rsidP="007E7C0C"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42A92AC0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49192436" w14:textId="77777777" w:rsidR="007E7C0C" w:rsidRDefault="00813371">
            <w:hyperlink r:id="rId14" w:history="1">
              <w:proofErr w:type="spellStart"/>
              <w:r w:rsidR="00982C79" w:rsidRPr="00982C79">
                <w:rPr>
                  <w:rStyle w:val="Hyperlink"/>
                </w:rPr>
                <w:t>Glogster</w:t>
              </w:r>
              <w:proofErr w:type="spellEnd"/>
              <w:r w:rsidR="00982C79" w:rsidRPr="00982C79">
                <w:rPr>
                  <w:rStyle w:val="Hyperlink"/>
                </w:rPr>
                <w:t xml:space="preserve"> website</w:t>
              </w:r>
            </w:hyperlink>
          </w:p>
          <w:p w14:paraId="648EF4AC" w14:textId="77777777" w:rsidR="009E165D" w:rsidRDefault="009E165D"/>
          <w:p w14:paraId="2C4F1B3B" w14:textId="5B4D4825" w:rsidR="009E165D" w:rsidRDefault="009E165D">
            <w:proofErr w:type="spellStart"/>
            <w:r>
              <w:t>Glogster</w:t>
            </w:r>
            <w:proofErr w:type="spellEnd"/>
            <w:r>
              <w:t xml:space="preserve"> rubric</w:t>
            </w:r>
          </w:p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55F70D9C" w14:textId="4A42FDE8" w:rsidR="009D35E8" w:rsidRDefault="007E7C0C" w:rsidP="009D35E8">
            <w:r>
              <w:t xml:space="preserve">We do: </w:t>
            </w:r>
            <w:r w:rsidR="009D35E8">
              <w:t>(50 minutes)</w:t>
            </w:r>
          </w:p>
          <w:p w14:paraId="5CD5AEC7" w14:textId="77777777" w:rsidR="00AF16AD" w:rsidRDefault="009D35E8" w:rsidP="009D35E8">
            <w:r>
              <w:t xml:space="preserve">Students use </w:t>
            </w:r>
            <w:proofErr w:type="spellStart"/>
            <w:r>
              <w:t>Glogster</w:t>
            </w:r>
            <w:proofErr w:type="spellEnd"/>
            <w:r>
              <w:t xml:space="preserve"> and create virtual posters of their independent novel.</w:t>
            </w:r>
          </w:p>
          <w:p w14:paraId="7DB5CDE8" w14:textId="3AF1B211" w:rsidR="009E165D" w:rsidRDefault="00813371" w:rsidP="009D35E8">
            <w:hyperlink r:id="rId15" w:history="1">
              <w:r w:rsidR="009E165D" w:rsidRPr="00813371">
                <w:rPr>
                  <w:rStyle w:val="Hyperlink"/>
                </w:rPr>
                <w:t>Rubric</w:t>
              </w:r>
            </w:hyperlink>
            <w:r w:rsidR="009E165D">
              <w:t xml:space="preserve"> is provided as a guide.</w:t>
            </w:r>
            <w:bookmarkStart w:id="0" w:name="_GoBack"/>
            <w:bookmarkEnd w:id="0"/>
          </w:p>
        </w:tc>
      </w:tr>
      <w:tr w:rsidR="007E7C0C" w14:paraId="07DD65A7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</w:tcBorders>
          </w:tcPr>
          <w:p w14:paraId="6ED9F01F" w14:textId="01D209D8" w:rsidR="007E7C0C" w:rsidRDefault="007E7C0C"/>
        </w:tc>
        <w:tc>
          <w:tcPr>
            <w:tcW w:w="6905" w:type="dxa"/>
            <w:gridSpan w:val="2"/>
            <w:tcBorders>
              <w:right w:val="thinThickThinSmallGap" w:sz="18" w:space="0" w:color="auto"/>
            </w:tcBorders>
          </w:tcPr>
          <w:p w14:paraId="39DDD670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0E786639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remember, understand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color w:val="FF0000"/>
              </w:rPr>
              <w:t>evaluate, leverage</w:t>
            </w:r>
          </w:p>
          <w:p w14:paraId="3BF662E3" w14:textId="77777777" w:rsidR="007E7C0C" w:rsidRPr="009B5A42" w:rsidRDefault="007E7C0C" w:rsidP="007E7C0C">
            <w:pPr>
              <w:rPr>
                <w:rFonts w:eastAsia="MS Gothic"/>
                <w:color w:val="FF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506577">
              <w:rPr>
                <w:rFonts w:eastAsia="MS Gothic"/>
                <w:b/>
                <w:color w:val="FF0000"/>
              </w:rPr>
              <w:t>create</w:t>
            </w:r>
            <w:r w:rsidRPr="00506577">
              <w:rPr>
                <w:rFonts w:eastAsia="MS Gothic"/>
                <w:color w:val="FF0000"/>
              </w:rPr>
              <w:t xml:space="preserve">, </w:t>
            </w:r>
            <w:r w:rsidRPr="009B5A42">
              <w:rPr>
                <w:rFonts w:eastAsia="MS Gothic"/>
                <w:color w:val="FF0000"/>
              </w:rPr>
              <w:t>publish</w:t>
            </w:r>
          </w:p>
          <w:p w14:paraId="763C718F" w14:textId="77777777" w:rsidR="007E7C0C" w:rsidRDefault="007E7C0C" w:rsidP="007E7C0C"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7E7C0C" w14:paraId="778352B9" w14:textId="77777777" w:rsidTr="005C332A">
        <w:trPr>
          <w:trHeight w:val="394"/>
        </w:trPr>
        <w:tc>
          <w:tcPr>
            <w:tcW w:w="1951" w:type="dxa"/>
            <w:tcBorders>
              <w:left w:val="thinThickThinSmallGap" w:sz="18" w:space="0" w:color="auto"/>
              <w:bottom w:val="single" w:sz="4" w:space="0" w:color="auto"/>
            </w:tcBorders>
          </w:tcPr>
          <w:p w14:paraId="53915DF5" w14:textId="77777777" w:rsidR="007E7C0C" w:rsidRDefault="007E7C0C"/>
        </w:tc>
        <w:tc>
          <w:tcPr>
            <w:tcW w:w="6905" w:type="dxa"/>
            <w:gridSpan w:val="2"/>
            <w:tcBorders>
              <w:bottom w:val="single" w:sz="4" w:space="0" w:color="auto"/>
              <w:right w:val="thinThickThinSmallGap" w:sz="18" w:space="0" w:color="auto"/>
            </w:tcBorders>
          </w:tcPr>
          <w:p w14:paraId="0ACE52E1" w14:textId="77777777" w:rsidR="007E7C0C" w:rsidRDefault="007E7C0C" w:rsidP="00663075">
            <w:r>
              <w:t>We share:</w:t>
            </w:r>
          </w:p>
          <w:p w14:paraId="06236C3B" w14:textId="77777777" w:rsidR="007E7C0C" w:rsidRDefault="006A1225" w:rsidP="009B5A42">
            <w:pPr>
              <w:pStyle w:val="ListParagraph"/>
              <w:numPr>
                <w:ilvl w:val="0"/>
                <w:numId w:val="8"/>
              </w:numPr>
            </w:pPr>
            <w:r>
              <w:t xml:space="preserve">Students will </w:t>
            </w:r>
            <w:r w:rsidR="009B5A42">
              <w:t xml:space="preserve">share their </w:t>
            </w:r>
            <w:proofErr w:type="spellStart"/>
            <w:r w:rsidR="009B5A42">
              <w:t>Glogster</w:t>
            </w:r>
            <w:proofErr w:type="spellEnd"/>
            <w:r w:rsidR="009B5A42">
              <w:t xml:space="preserve"> links with peers and teachers.</w:t>
            </w:r>
            <w:r w:rsidR="000D3637">
              <w:t xml:space="preserve"> </w:t>
            </w:r>
          </w:p>
          <w:p w14:paraId="3CB499F6" w14:textId="4077B839" w:rsidR="00D111DA" w:rsidRDefault="00D111DA" w:rsidP="009B5A42">
            <w:pPr>
              <w:pStyle w:val="ListParagraph"/>
              <w:numPr>
                <w:ilvl w:val="0"/>
                <w:numId w:val="8"/>
              </w:numPr>
            </w:pPr>
            <w:r>
              <w:t xml:space="preserve">Peer editing using </w:t>
            </w:r>
            <w:hyperlink r:id="rId16" w:history="1">
              <w:proofErr w:type="spellStart"/>
              <w:r w:rsidRPr="00813371">
                <w:rPr>
                  <w:rStyle w:val="Hyperlink"/>
                </w:rPr>
                <w:t>Glogster</w:t>
              </w:r>
              <w:proofErr w:type="spellEnd"/>
              <w:r w:rsidRPr="00813371">
                <w:rPr>
                  <w:rStyle w:val="Hyperlink"/>
                </w:rPr>
                <w:t xml:space="preserve"> rubric</w:t>
              </w:r>
            </w:hyperlink>
          </w:p>
        </w:tc>
      </w:tr>
      <w:tr w:rsidR="007E7C0C" w14:paraId="33C7AE3B" w14:textId="77777777" w:rsidTr="005C332A">
        <w:trPr>
          <w:trHeight w:val="572"/>
        </w:trPr>
        <w:tc>
          <w:tcPr>
            <w:tcW w:w="1951" w:type="dxa"/>
            <w:tcBorders>
              <w:left w:val="thinThickThinSmallGap" w:sz="18" w:space="0" w:color="auto"/>
              <w:right w:val="single" w:sz="4" w:space="0" w:color="auto"/>
            </w:tcBorders>
          </w:tcPr>
          <w:p w14:paraId="040973AE" w14:textId="77777777" w:rsidR="007E7C0C" w:rsidRDefault="007E7C0C">
            <w:pPr>
              <w:rPr>
                <w:b/>
              </w:rPr>
            </w:pPr>
          </w:p>
        </w:tc>
        <w:tc>
          <w:tcPr>
            <w:tcW w:w="6905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</w:tcPr>
          <w:p w14:paraId="79A7800C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color w:val="000000"/>
              </w:rPr>
              <w:t>find, validate</w:t>
            </w:r>
            <w:r>
              <w:rPr>
                <w:rFonts w:eastAsia="MS Gothic"/>
                <w:color w:val="000000"/>
              </w:rPr>
              <w:t xml:space="preserve">            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critical thinking</w:t>
            </w:r>
          </w:p>
          <w:p w14:paraId="29E84226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remember, understand </w:t>
            </w:r>
            <w:r>
              <w:rPr>
                <w:rFonts w:eastAsia="MS Gothic"/>
                <w:color w:val="000000"/>
              </w:rPr>
              <w:t xml:space="preserve">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evaluate, leverage</w:t>
            </w:r>
          </w:p>
          <w:p w14:paraId="4E3E73F6" w14:textId="77777777" w:rsidR="007E7C0C" w:rsidRPr="007E7C0C" w:rsidRDefault="007E7C0C" w:rsidP="007E7C0C">
            <w:pPr>
              <w:rPr>
                <w:rFonts w:eastAsia="MS Gothic"/>
                <w:color w:val="000000"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collaborate, communicate</w:t>
            </w:r>
            <w:r>
              <w:rPr>
                <w:rFonts w:eastAsia="MS Gothic"/>
                <w:b/>
                <w:color w:val="000000"/>
              </w:rPr>
              <w:t xml:space="preserve">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</w:t>
            </w:r>
            <w:r w:rsidRPr="00EC3FB2">
              <w:rPr>
                <w:rFonts w:eastAsia="MS Gothic"/>
                <w:b/>
                <w:color w:val="000000"/>
              </w:rPr>
              <w:t>create</w:t>
            </w:r>
            <w:r w:rsidRPr="00EC3FB2">
              <w:rPr>
                <w:rFonts w:eastAsia="MS Gothic"/>
                <w:color w:val="000000"/>
              </w:rPr>
              <w:t xml:space="preserve">, </w:t>
            </w:r>
            <w:r w:rsidRPr="00E55B43">
              <w:rPr>
                <w:rFonts w:eastAsia="MS Gothic"/>
                <w:color w:val="FF0000"/>
              </w:rPr>
              <w:t>publish</w:t>
            </w:r>
          </w:p>
          <w:p w14:paraId="4CF37B22" w14:textId="77777777" w:rsidR="007E7C0C" w:rsidRDefault="007E7C0C" w:rsidP="007E7C0C">
            <w:pPr>
              <w:rPr>
                <w:b/>
              </w:rPr>
            </w:pP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/>
                <w:color w:val="000000"/>
              </w:rPr>
              <w:t xml:space="preserve"> analyze, synthesize</w:t>
            </w:r>
            <w:r>
              <w:rPr>
                <w:rFonts w:eastAsia="MS Gothic"/>
                <w:color w:val="000000"/>
              </w:rPr>
              <w:t xml:space="preserve">                                 </w:t>
            </w:r>
            <w:r w:rsidRPr="00EC3FB2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EC3FB2">
              <w:rPr>
                <w:rFonts w:eastAsia="MS Gothic" w:cs="Menlo Regular"/>
                <w:color w:val="000000"/>
              </w:rPr>
              <w:t xml:space="preserve"> </w:t>
            </w:r>
            <w:r w:rsidRPr="00EC3FB2">
              <w:rPr>
                <w:rFonts w:eastAsia="MS Gothic" w:cs="Menlo Regular"/>
                <w:b/>
                <w:color w:val="000000"/>
              </w:rPr>
              <w:t>citizenship</w:t>
            </w:r>
          </w:p>
        </w:tc>
      </w:tr>
      <w:tr w:rsidR="00F00B08" w14:paraId="34432CD7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E73CFF9" w14:textId="77777777" w:rsidR="00F00B08" w:rsidRDefault="00F00B08">
            <w:pPr>
              <w:rPr>
                <w:b/>
              </w:rPr>
            </w:pPr>
            <w:r>
              <w:rPr>
                <w:b/>
              </w:rPr>
              <w:t>WRAP UP/REMINDERS:</w:t>
            </w:r>
          </w:p>
          <w:p w14:paraId="34657E84" w14:textId="77777777" w:rsidR="00FF3FB3" w:rsidRDefault="00FF3FB3">
            <w:pPr>
              <w:rPr>
                <w:b/>
              </w:rPr>
            </w:pPr>
          </w:p>
          <w:p w14:paraId="0BFE4253" w14:textId="4F81A3C3" w:rsidR="00F00B08" w:rsidRDefault="00325D08" w:rsidP="009B5A42">
            <w:pPr>
              <w:rPr>
                <w:b/>
              </w:rPr>
            </w:pPr>
            <w:r>
              <w:rPr>
                <w:b/>
              </w:rPr>
              <w:t xml:space="preserve">Students will email their </w:t>
            </w:r>
            <w:proofErr w:type="spellStart"/>
            <w:r w:rsidR="009B5A42">
              <w:rPr>
                <w:b/>
              </w:rPr>
              <w:t>Glogster</w:t>
            </w:r>
            <w:proofErr w:type="spellEnd"/>
            <w:r>
              <w:rPr>
                <w:b/>
              </w:rPr>
              <w:t xml:space="preserve"> link to their English 10 teacher.</w:t>
            </w:r>
          </w:p>
        </w:tc>
      </w:tr>
      <w:tr w:rsidR="00663075" w14:paraId="188D1C53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A360E0C" w14:textId="210652EB" w:rsidR="00663075" w:rsidRPr="008E1C9D" w:rsidRDefault="00663075" w:rsidP="00414BAE">
            <w:pPr>
              <w:rPr>
                <w:b/>
              </w:rPr>
            </w:pPr>
            <w:r w:rsidRPr="008E1C9D">
              <w:rPr>
                <w:b/>
              </w:rPr>
              <w:t>Differentiation:</w:t>
            </w:r>
            <w:r w:rsidR="00414BAE">
              <w:rPr>
                <w:b/>
              </w:rPr>
              <w:t xml:space="preserve">  EAL </w:t>
            </w:r>
            <w:r w:rsidR="00B708F7">
              <w:rPr>
                <w:b/>
              </w:rPr>
              <w:t>levels</w:t>
            </w:r>
          </w:p>
          <w:p w14:paraId="76C5AD0F" w14:textId="77777777" w:rsidR="00663075" w:rsidRDefault="00663075" w:rsidP="00663075"/>
        </w:tc>
      </w:tr>
      <w:tr w:rsidR="008E1C9D" w14:paraId="003544F1" w14:textId="77777777" w:rsidTr="00831983">
        <w:trPr>
          <w:trHeight w:val="2074"/>
        </w:trPr>
        <w:tc>
          <w:tcPr>
            <w:tcW w:w="4428" w:type="dxa"/>
            <w:gridSpan w:val="2"/>
            <w:tcBorders>
              <w:left w:val="thinThickThinSmallGap" w:sz="18" w:space="0" w:color="auto"/>
            </w:tcBorders>
          </w:tcPr>
          <w:p w14:paraId="78846A00" w14:textId="555BEA4A" w:rsidR="00BD1BD5" w:rsidRDefault="00BD1BD5" w:rsidP="008E1C9D"/>
          <w:p w14:paraId="0AE377A4" w14:textId="0AA7C83F" w:rsidR="008E1C9D" w:rsidRDefault="008E1C9D" w:rsidP="00B708F7">
            <w:r>
              <w:t>Modification</w:t>
            </w:r>
            <w:r w:rsidR="00B708F7">
              <w:t xml:space="preserve"> (</w:t>
            </w:r>
            <w:r w:rsidR="00B708F7" w:rsidRPr="00B708F7">
              <w:rPr>
                <w:sz w:val="22"/>
                <w:szCs w:val="22"/>
              </w:rPr>
              <w:t>beginner/low intermediate</w:t>
            </w:r>
            <w:r w:rsidR="00B708F7">
              <w:t>)</w:t>
            </w:r>
            <w:r>
              <w:t xml:space="preserve">: </w:t>
            </w:r>
          </w:p>
          <w:p w14:paraId="7137AF5B" w14:textId="0ACF5F4D" w:rsidR="000A773F" w:rsidRDefault="00982C79" w:rsidP="008E1C9D">
            <w:r>
              <w:t xml:space="preserve">Students can use more audio, images and video than text in their </w:t>
            </w:r>
            <w:proofErr w:type="spellStart"/>
            <w:r>
              <w:t>glogs</w:t>
            </w:r>
            <w:proofErr w:type="spellEnd"/>
            <w:r>
              <w:t>.</w:t>
            </w:r>
          </w:p>
          <w:p w14:paraId="004F29D4" w14:textId="77777777" w:rsidR="000A773F" w:rsidRDefault="000A773F" w:rsidP="008E1C9D"/>
          <w:p w14:paraId="78044F8D" w14:textId="77777777" w:rsidR="000A773F" w:rsidRDefault="000A773F" w:rsidP="008E1C9D"/>
          <w:p w14:paraId="586CD480" w14:textId="77777777" w:rsidR="00BD1BD5" w:rsidRDefault="00BD1BD5" w:rsidP="008E1C9D"/>
        </w:tc>
        <w:tc>
          <w:tcPr>
            <w:tcW w:w="4428" w:type="dxa"/>
            <w:tcBorders>
              <w:right w:val="thinThickThinSmallGap" w:sz="18" w:space="0" w:color="auto"/>
            </w:tcBorders>
          </w:tcPr>
          <w:p w14:paraId="62211986" w14:textId="77777777" w:rsidR="00BD1BD5" w:rsidRDefault="00BD1BD5"/>
          <w:p w14:paraId="2E2163F3" w14:textId="61B9DD08" w:rsidR="008E1C9D" w:rsidRDefault="008E1C9D">
            <w:r>
              <w:t>Enrichment</w:t>
            </w:r>
            <w:r w:rsidR="00B708F7">
              <w:t xml:space="preserve"> (high intermediate)</w:t>
            </w:r>
            <w:r>
              <w:t xml:space="preserve">: </w:t>
            </w:r>
          </w:p>
          <w:p w14:paraId="2ADD2084" w14:textId="13DB1EC0" w:rsidR="00211397" w:rsidRDefault="00982C79" w:rsidP="00D84469">
            <w:pPr>
              <w:pStyle w:val="ListParagraph"/>
              <w:numPr>
                <w:ilvl w:val="0"/>
                <w:numId w:val="11"/>
              </w:numPr>
            </w:pPr>
            <w:r>
              <w:t>Students will orally present their virtual posters.</w:t>
            </w:r>
          </w:p>
        </w:tc>
      </w:tr>
      <w:tr w:rsidR="00663075" w14:paraId="7889CB12" w14:textId="77777777" w:rsidTr="00B01EFD">
        <w:trPr>
          <w:trHeight w:val="1975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A5610E2" w14:textId="77777777" w:rsidR="000A773F" w:rsidRDefault="00663075">
            <w:pPr>
              <w:rPr>
                <w:b/>
              </w:rPr>
            </w:pPr>
            <w:r w:rsidRPr="000133BA">
              <w:rPr>
                <w:b/>
              </w:rPr>
              <w:t xml:space="preserve">Evaluation:  </w:t>
            </w:r>
          </w:p>
          <w:p w14:paraId="62D28132" w14:textId="77777777" w:rsidR="00211397" w:rsidRPr="00E4516D" w:rsidRDefault="00211397" w:rsidP="00E4516D">
            <w:pPr>
              <w:pStyle w:val="ListParagraph"/>
              <w:numPr>
                <w:ilvl w:val="0"/>
                <w:numId w:val="12"/>
              </w:numPr>
            </w:pPr>
            <w:r w:rsidRPr="00E4516D">
              <w:t>Engaged throughout process</w:t>
            </w:r>
          </w:p>
          <w:p w14:paraId="1426E759" w14:textId="0C8DABD8" w:rsidR="003A3AA9" w:rsidRPr="00E4516D" w:rsidRDefault="003A3AA9" w:rsidP="00E4516D">
            <w:pPr>
              <w:pStyle w:val="ListParagraph"/>
              <w:numPr>
                <w:ilvl w:val="0"/>
                <w:numId w:val="12"/>
              </w:numPr>
            </w:pPr>
            <w:r w:rsidRPr="00E4516D">
              <w:t xml:space="preserve">Oral conversations </w:t>
            </w:r>
            <w:r w:rsidR="00982C79">
              <w:t>with others that have read similar novel.</w:t>
            </w:r>
          </w:p>
          <w:p w14:paraId="2CC18018" w14:textId="305B1816" w:rsidR="00211397" w:rsidRDefault="00211397" w:rsidP="00E4516D">
            <w:pPr>
              <w:pStyle w:val="ListParagraph"/>
              <w:numPr>
                <w:ilvl w:val="0"/>
                <w:numId w:val="12"/>
              </w:numPr>
            </w:pPr>
            <w:r w:rsidRPr="00E4516D">
              <w:t xml:space="preserve">Final </w:t>
            </w:r>
            <w:r w:rsidR="005E16AD">
              <w:t xml:space="preserve">product: </w:t>
            </w:r>
            <w:r w:rsidR="00982C79">
              <w:t xml:space="preserve">Interactive </w:t>
            </w:r>
            <w:proofErr w:type="spellStart"/>
            <w:r w:rsidR="00982C79">
              <w:t>Glog</w:t>
            </w:r>
            <w:proofErr w:type="spellEnd"/>
          </w:p>
          <w:p w14:paraId="6F90D901" w14:textId="22E1E8D6" w:rsidR="00B12D4C" w:rsidRPr="00E4516D" w:rsidRDefault="00B12D4C" w:rsidP="00E4516D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Glogster</w:t>
            </w:r>
            <w:proofErr w:type="spellEnd"/>
            <w:r>
              <w:t xml:space="preserve"> rubric</w:t>
            </w:r>
          </w:p>
          <w:p w14:paraId="7B2FC1E2" w14:textId="77777777" w:rsidR="00983043" w:rsidRPr="00F2164B" w:rsidRDefault="00983043" w:rsidP="00E4516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4516D">
              <w:t>Classroom teacher feedback that EAL students have met outcomes</w:t>
            </w:r>
          </w:p>
          <w:p w14:paraId="7A21AA28" w14:textId="53201D12" w:rsidR="00F2164B" w:rsidRPr="00E4516D" w:rsidRDefault="00F2164B" w:rsidP="00B77369">
            <w:pPr>
              <w:pStyle w:val="ListParagraph"/>
              <w:ind w:left="1080"/>
              <w:rPr>
                <w:b/>
              </w:rPr>
            </w:pPr>
          </w:p>
        </w:tc>
      </w:tr>
      <w:tr w:rsidR="00663075" w14:paraId="73A53B59" w14:textId="77777777" w:rsidTr="00B01EFD">
        <w:trPr>
          <w:trHeight w:val="79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7C24A31" w14:textId="613D519F" w:rsidR="00663075" w:rsidRDefault="00663075" w:rsidP="00B01EFD"/>
        </w:tc>
      </w:tr>
      <w:tr w:rsidR="00E64972" w14:paraId="57EAAC7E" w14:textId="77777777" w:rsidTr="00F2164B">
        <w:trPr>
          <w:trHeight w:val="79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AE33010" w14:textId="329373C2" w:rsidR="00B01EFD" w:rsidRDefault="00B01EFD" w:rsidP="00663075">
            <w:pPr>
              <w:rPr>
                <w:b/>
              </w:rPr>
            </w:pPr>
          </w:p>
          <w:p w14:paraId="2B1726A3" w14:textId="30AF3577" w:rsidR="00E64972" w:rsidRDefault="00E64972" w:rsidP="00663075">
            <w:pPr>
              <w:rPr>
                <w:b/>
              </w:rPr>
            </w:pPr>
            <w:r w:rsidRPr="00E64972">
              <w:rPr>
                <w:b/>
              </w:rPr>
              <w:lastRenderedPageBreak/>
              <w:t>On-Line Resources:</w:t>
            </w:r>
          </w:p>
          <w:p w14:paraId="7E754C4F" w14:textId="69682096" w:rsidR="000D3637" w:rsidRDefault="00813371" w:rsidP="00663075">
            <w:hyperlink r:id="rId17" w:history="1">
              <w:r w:rsidR="00A572F3" w:rsidRPr="004C60A8">
                <w:rPr>
                  <w:rStyle w:val="Hyperlink"/>
                </w:rPr>
                <w:t>http://edu.glogster.com</w:t>
              </w:r>
            </w:hyperlink>
          </w:p>
          <w:p w14:paraId="30AE8790" w14:textId="0F201516" w:rsidR="00A572F3" w:rsidRDefault="00813371" w:rsidP="00663075">
            <w:hyperlink r:id="rId18" w:history="1">
              <w:r w:rsidR="009E165D" w:rsidRPr="004C60A8">
                <w:rPr>
                  <w:rStyle w:val="Hyperlink"/>
                </w:rPr>
                <w:t>https://butlertech.wikispaces.com/file/view/Glogster+Rubric.pdf</w:t>
              </w:r>
            </w:hyperlink>
          </w:p>
          <w:p w14:paraId="7EE70E4B" w14:textId="77777777" w:rsidR="009E165D" w:rsidRDefault="009E165D" w:rsidP="00663075"/>
          <w:p w14:paraId="064D01DF" w14:textId="77777777" w:rsidR="00A572F3" w:rsidRDefault="00A572F3" w:rsidP="00663075"/>
          <w:p w14:paraId="12B73FD2" w14:textId="77777777" w:rsidR="00E64972" w:rsidRDefault="00E64972" w:rsidP="00663075"/>
          <w:p w14:paraId="07796A2B" w14:textId="77777777" w:rsidR="00E64972" w:rsidRDefault="00E64972" w:rsidP="00663075"/>
        </w:tc>
      </w:tr>
    </w:tbl>
    <w:p w14:paraId="74FE5BAC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1A"/>
    <w:multiLevelType w:val="hybridMultilevel"/>
    <w:tmpl w:val="5EF0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7E9"/>
    <w:multiLevelType w:val="hybridMultilevel"/>
    <w:tmpl w:val="D5FA8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A585D"/>
    <w:multiLevelType w:val="hybridMultilevel"/>
    <w:tmpl w:val="7868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E04E6"/>
    <w:multiLevelType w:val="hybridMultilevel"/>
    <w:tmpl w:val="07DCF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84368"/>
    <w:multiLevelType w:val="hybridMultilevel"/>
    <w:tmpl w:val="4E3CEB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0B0CE4"/>
    <w:multiLevelType w:val="hybridMultilevel"/>
    <w:tmpl w:val="9536C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5B4870"/>
    <w:multiLevelType w:val="hybridMultilevel"/>
    <w:tmpl w:val="8AD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27947"/>
    <w:multiLevelType w:val="hybridMultilevel"/>
    <w:tmpl w:val="58C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039F7"/>
    <w:multiLevelType w:val="hybridMultilevel"/>
    <w:tmpl w:val="408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147"/>
    <w:multiLevelType w:val="hybridMultilevel"/>
    <w:tmpl w:val="7EAC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F23E4"/>
    <w:multiLevelType w:val="hybridMultilevel"/>
    <w:tmpl w:val="575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228F4"/>
    <w:multiLevelType w:val="hybridMultilevel"/>
    <w:tmpl w:val="C17EB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438A0"/>
    <w:multiLevelType w:val="hybridMultilevel"/>
    <w:tmpl w:val="06C0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659F0"/>
    <w:multiLevelType w:val="hybridMultilevel"/>
    <w:tmpl w:val="083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542CB"/>
    <w:multiLevelType w:val="hybridMultilevel"/>
    <w:tmpl w:val="E0026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0D"/>
    <w:rsid w:val="000133BA"/>
    <w:rsid w:val="00096CFD"/>
    <w:rsid w:val="000A773F"/>
    <w:rsid w:val="000D3637"/>
    <w:rsid w:val="000F1A75"/>
    <w:rsid w:val="00100585"/>
    <w:rsid w:val="001116C3"/>
    <w:rsid w:val="00150AE6"/>
    <w:rsid w:val="001B7424"/>
    <w:rsid w:val="001E67B2"/>
    <w:rsid w:val="002058CC"/>
    <w:rsid w:val="00211397"/>
    <w:rsid w:val="00221D08"/>
    <w:rsid w:val="00234C7D"/>
    <w:rsid w:val="00242A27"/>
    <w:rsid w:val="002510B7"/>
    <w:rsid w:val="002615CF"/>
    <w:rsid w:val="002E5C7C"/>
    <w:rsid w:val="00310B41"/>
    <w:rsid w:val="00325D08"/>
    <w:rsid w:val="003A3AA9"/>
    <w:rsid w:val="00414BAE"/>
    <w:rsid w:val="00440765"/>
    <w:rsid w:val="00444D93"/>
    <w:rsid w:val="004652A0"/>
    <w:rsid w:val="0046765A"/>
    <w:rsid w:val="004F633D"/>
    <w:rsid w:val="00506577"/>
    <w:rsid w:val="0054781E"/>
    <w:rsid w:val="00565FA8"/>
    <w:rsid w:val="005A03F9"/>
    <w:rsid w:val="005A5A44"/>
    <w:rsid w:val="005B6582"/>
    <w:rsid w:val="005C332A"/>
    <w:rsid w:val="005E16AD"/>
    <w:rsid w:val="00622403"/>
    <w:rsid w:val="00663075"/>
    <w:rsid w:val="00695134"/>
    <w:rsid w:val="006A1225"/>
    <w:rsid w:val="006A6D98"/>
    <w:rsid w:val="006D203D"/>
    <w:rsid w:val="007123C6"/>
    <w:rsid w:val="00740D63"/>
    <w:rsid w:val="00763306"/>
    <w:rsid w:val="007A2CEE"/>
    <w:rsid w:val="007E7C0C"/>
    <w:rsid w:val="007F3E96"/>
    <w:rsid w:val="00804A72"/>
    <w:rsid w:val="00813371"/>
    <w:rsid w:val="00831983"/>
    <w:rsid w:val="00831F21"/>
    <w:rsid w:val="00852CFA"/>
    <w:rsid w:val="00884492"/>
    <w:rsid w:val="008A47CA"/>
    <w:rsid w:val="008E1C9D"/>
    <w:rsid w:val="00982C79"/>
    <w:rsid w:val="00983043"/>
    <w:rsid w:val="009B5A42"/>
    <w:rsid w:val="009D35E8"/>
    <w:rsid w:val="009E165D"/>
    <w:rsid w:val="00A572F3"/>
    <w:rsid w:val="00A84200"/>
    <w:rsid w:val="00AB5D2E"/>
    <w:rsid w:val="00AB5E2D"/>
    <w:rsid w:val="00AC10EC"/>
    <w:rsid w:val="00AD09CD"/>
    <w:rsid w:val="00AF16AD"/>
    <w:rsid w:val="00B01EFD"/>
    <w:rsid w:val="00B12D4C"/>
    <w:rsid w:val="00B36914"/>
    <w:rsid w:val="00B417B9"/>
    <w:rsid w:val="00B53195"/>
    <w:rsid w:val="00B54D89"/>
    <w:rsid w:val="00B708F7"/>
    <w:rsid w:val="00B77369"/>
    <w:rsid w:val="00BB622A"/>
    <w:rsid w:val="00BD1BD5"/>
    <w:rsid w:val="00C00DE7"/>
    <w:rsid w:val="00C056F1"/>
    <w:rsid w:val="00C80C48"/>
    <w:rsid w:val="00CC7E41"/>
    <w:rsid w:val="00CE2762"/>
    <w:rsid w:val="00D044A1"/>
    <w:rsid w:val="00D111DA"/>
    <w:rsid w:val="00D76E0D"/>
    <w:rsid w:val="00D84469"/>
    <w:rsid w:val="00DB55EF"/>
    <w:rsid w:val="00DC0BD6"/>
    <w:rsid w:val="00E127FB"/>
    <w:rsid w:val="00E204AF"/>
    <w:rsid w:val="00E23CF0"/>
    <w:rsid w:val="00E44EE0"/>
    <w:rsid w:val="00E4516D"/>
    <w:rsid w:val="00E55B43"/>
    <w:rsid w:val="00E64972"/>
    <w:rsid w:val="00E80C71"/>
    <w:rsid w:val="00E84A5D"/>
    <w:rsid w:val="00EA6784"/>
    <w:rsid w:val="00EC3FB2"/>
    <w:rsid w:val="00EF6CDB"/>
    <w:rsid w:val="00F00B08"/>
    <w:rsid w:val="00F16CE1"/>
    <w:rsid w:val="00F2164B"/>
    <w:rsid w:val="00F54771"/>
    <w:rsid w:val="00F86092"/>
    <w:rsid w:val="00FB4D2C"/>
    <w:rsid w:val="00FC004B"/>
    <w:rsid w:val="00FC4ECB"/>
    <w:rsid w:val="00FC62D3"/>
    <w:rsid w:val="00FE3DC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4B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outu.be/1FsnuvmMrIc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howme.com" TargetMode="External"/><Relationship Id="rId11" Type="http://schemas.openxmlformats.org/officeDocument/2006/relationships/hyperlink" Target="https://getkahoot.com" TargetMode="External"/><Relationship Id="rId12" Type="http://schemas.openxmlformats.org/officeDocument/2006/relationships/hyperlink" Target="http://edu.glogster.com/?ref=com" TargetMode="External"/><Relationship Id="rId13" Type="http://schemas.openxmlformats.org/officeDocument/2006/relationships/hyperlink" Target="http://youtu.be/1FsnuvmMrIc" TargetMode="External"/><Relationship Id="rId14" Type="http://schemas.openxmlformats.org/officeDocument/2006/relationships/hyperlink" Target="http://edu.glogster.com/?ref=com" TargetMode="External"/><Relationship Id="rId15" Type="http://schemas.openxmlformats.org/officeDocument/2006/relationships/hyperlink" Target="https://butlertech.wikispaces.com/file/view/Glogster+Rubric.pdf" TargetMode="External"/><Relationship Id="rId16" Type="http://schemas.openxmlformats.org/officeDocument/2006/relationships/hyperlink" Target="https://butlertech.wikispaces.com/file/view/Glogster+Rubric.pdf" TargetMode="External"/><Relationship Id="rId17" Type="http://schemas.openxmlformats.org/officeDocument/2006/relationships/hyperlink" Target="http://edu.glogster.com" TargetMode="External"/><Relationship Id="rId18" Type="http://schemas.openxmlformats.org/officeDocument/2006/relationships/hyperlink" Target="https://butlertech.wikispaces.com/file/view/Glogster+Rubric.pdf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edu.glogster.com/?ref=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ileyte-stafford:Downloads:High%20School%20Lesson%20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E12E4-2B83-D249-9849-2E128637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Lesson Template-3.dotx</Template>
  <TotalTime>11</TotalTime>
  <Pages>3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12</cp:revision>
  <cp:lastPrinted>2014-11-10T22:47:00Z</cp:lastPrinted>
  <dcterms:created xsi:type="dcterms:W3CDTF">2015-07-02T18:05:00Z</dcterms:created>
  <dcterms:modified xsi:type="dcterms:W3CDTF">2015-07-03T13:20:00Z</dcterms:modified>
</cp:coreProperties>
</file>